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E2A8" w14:textId="48A8DAEC" w:rsidR="002F5CC3" w:rsidRPr="00E7732F" w:rsidRDefault="00E7732F">
      <w:pPr>
        <w:rPr>
          <w:b/>
          <w:bCs/>
          <w:color w:val="FF0000"/>
          <w:sz w:val="30"/>
          <w:szCs w:val="30"/>
        </w:rPr>
      </w:pPr>
      <w:r w:rsidRPr="00E7732F">
        <w:rPr>
          <w:b/>
          <w:bCs/>
          <w:color w:val="FF0000"/>
          <w:sz w:val="30"/>
          <w:szCs w:val="30"/>
        </w:rPr>
        <w:t>POPLATKY ZA KOMUNÁLNÍ ODPAD NA ROK 202</w:t>
      </w:r>
      <w:r w:rsidR="00687093">
        <w:rPr>
          <w:b/>
          <w:bCs/>
          <w:color w:val="FF0000"/>
          <w:sz w:val="30"/>
          <w:szCs w:val="30"/>
        </w:rPr>
        <w:t>1</w:t>
      </w:r>
    </w:p>
    <w:p w14:paraId="452BB2F9" w14:textId="77777777" w:rsidR="00E7732F" w:rsidRDefault="00E7732F">
      <w:pPr>
        <w:rPr>
          <w:b/>
          <w:bCs/>
          <w:color w:val="FF0000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677"/>
        <w:gridCol w:w="1061"/>
        <w:gridCol w:w="4859"/>
      </w:tblGrid>
      <w:tr w:rsidR="00E7732F" w:rsidRPr="00E7732F" w14:paraId="03A6A1B5" w14:textId="77777777" w:rsidTr="00EC4BE7">
        <w:trPr>
          <w:trHeight w:val="396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1CAD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>Známka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0D83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>Počet svozů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2D4F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>Cena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61DEB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>Poznámka</w:t>
            </w:r>
          </w:p>
        </w:tc>
      </w:tr>
      <w:tr w:rsidR="00E7732F" w:rsidRPr="00E7732F" w14:paraId="667E83B7" w14:textId="77777777" w:rsidTr="00EC4BE7">
        <w:trPr>
          <w:trHeight w:val="396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A964E5C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DC56" w14:textId="43245526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5</w:t>
            </w:r>
            <w:r w:rsidR="00853D8D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2</w:t>
            </w: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 xml:space="preserve"> 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2EE" w14:textId="486783E6" w:rsidR="00E7732F" w:rsidRPr="00E7732F" w:rsidRDefault="00E7732F" w:rsidP="00E7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 xml:space="preserve">3 </w:t>
            </w:r>
            <w:r w:rsidR="0068709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40</w:t>
            </w: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80FAF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1 x za týden</w:t>
            </w:r>
          </w:p>
        </w:tc>
      </w:tr>
      <w:tr w:rsidR="00E7732F" w:rsidRPr="00E7732F" w14:paraId="42DED495" w14:textId="77777777" w:rsidTr="00EC4BE7">
        <w:trPr>
          <w:trHeight w:val="396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8FE6D6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740A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41 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45E" w14:textId="62B377F0" w:rsidR="00E7732F" w:rsidRPr="00E7732F" w:rsidRDefault="00E7732F" w:rsidP="00E7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 xml:space="preserve">2 </w:t>
            </w:r>
            <w:r w:rsidR="0068709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900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667F4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zima 1 x za týden, léto 1 x za 2 týdny</w:t>
            </w:r>
          </w:p>
        </w:tc>
      </w:tr>
      <w:tr w:rsidR="00E7732F" w:rsidRPr="00E7732F" w14:paraId="488332E4" w14:textId="77777777" w:rsidTr="00EC4BE7">
        <w:trPr>
          <w:trHeight w:val="396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8E22E7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02C2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36 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BCA5" w14:textId="629BA944" w:rsidR="00E7732F" w:rsidRPr="00E7732F" w:rsidRDefault="00E7732F" w:rsidP="00E7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 xml:space="preserve">2 </w:t>
            </w:r>
            <w:r w:rsidR="0068709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80</w:t>
            </w: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DDC90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zima 1 x za týden, léto 1 x za 4 týdny</w:t>
            </w:r>
          </w:p>
        </w:tc>
      </w:tr>
      <w:tr w:rsidR="00E7732F" w:rsidRPr="00E7732F" w14:paraId="5FA28606" w14:textId="77777777" w:rsidTr="00EC4BE7">
        <w:trPr>
          <w:trHeight w:val="396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441F9B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1CA" w14:textId="39D285B9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2</w:t>
            </w:r>
            <w:r w:rsidR="00FA668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7</w:t>
            </w: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 xml:space="preserve"> 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C30" w14:textId="629D409D" w:rsidR="00E7732F" w:rsidRPr="00E7732F" w:rsidRDefault="00E7732F" w:rsidP="00E7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 xml:space="preserve">1 </w:t>
            </w:r>
            <w:r w:rsidR="0068709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80</w:t>
            </w: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A40F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1 x za 2 týdny</w:t>
            </w:r>
          </w:p>
        </w:tc>
      </w:tr>
      <w:tr w:rsidR="00E7732F" w:rsidRPr="00E7732F" w14:paraId="2D7A316E" w14:textId="77777777" w:rsidTr="00EC4BE7">
        <w:trPr>
          <w:trHeight w:val="396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FC8551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F46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 xml:space="preserve">21 x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43DF" w14:textId="0FE72E76" w:rsidR="00E7732F" w:rsidRPr="00E7732F" w:rsidRDefault="00E7732F" w:rsidP="00E7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1</w:t>
            </w:r>
            <w:r w:rsidR="00853D8D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 xml:space="preserve"> </w:t>
            </w:r>
            <w:r w:rsidR="0068709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500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698A1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zima 1 x za 2 týdny, léto 1 x za 4 týdny</w:t>
            </w:r>
          </w:p>
        </w:tc>
      </w:tr>
      <w:tr w:rsidR="00E7732F" w:rsidRPr="00E7732F" w14:paraId="58BF19F7" w14:textId="77777777" w:rsidTr="00EC4BE7">
        <w:trPr>
          <w:trHeight w:val="396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3C713BD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1E24" w14:textId="0B3EFBDD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1</w:t>
            </w:r>
            <w:r w:rsidR="00FA668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4</w:t>
            </w: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 xml:space="preserve"> 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14CE" w14:textId="3FC3265A" w:rsidR="00E7732F" w:rsidRPr="00E7732F" w:rsidRDefault="00E7732F" w:rsidP="00E7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 xml:space="preserve">1 </w:t>
            </w:r>
            <w:r w:rsidR="00687093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1</w:t>
            </w: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00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D18D8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1 x za 4 týdny</w:t>
            </w:r>
          </w:p>
        </w:tc>
      </w:tr>
      <w:tr w:rsidR="00E7732F" w:rsidRPr="00E7732F" w14:paraId="6806997D" w14:textId="77777777" w:rsidTr="00EC4BE7">
        <w:trPr>
          <w:trHeight w:val="396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3654108B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68FB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7 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3FC6" w14:textId="4A1A352D" w:rsidR="00E7732F" w:rsidRPr="00E7732F" w:rsidRDefault="00687093" w:rsidP="00E7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800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6598E" w14:textId="77777777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1 x za 8 týdnů</w:t>
            </w:r>
          </w:p>
        </w:tc>
      </w:tr>
      <w:tr w:rsidR="00E7732F" w:rsidRPr="00E7732F" w14:paraId="7057F420" w14:textId="77777777" w:rsidTr="00EC4BE7">
        <w:trPr>
          <w:trHeight w:val="408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48BE" w14:textId="0392497D" w:rsidR="00E7732F" w:rsidRPr="00E7732F" w:rsidRDefault="00EC4BE7" w:rsidP="00E7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  <w:lang w:eastAsia="cs-CZ"/>
              </w:rPr>
              <w:drawing>
                <wp:inline distT="0" distB="0" distL="0" distR="0" wp14:anchorId="1E19E43A" wp14:editId="6255582A">
                  <wp:extent cx="830580" cy="412628"/>
                  <wp:effectExtent l="0" t="0" r="7620" b="698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mka odpad jednoraz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786" cy="43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649" w14:textId="37E54B96" w:rsidR="00E7732F" w:rsidRPr="00E7732F" w:rsidRDefault="00EC4BE7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 xml:space="preserve">PE pytel </w:t>
            </w:r>
            <w:r w:rsidR="0050324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jednorázový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52A0" w14:textId="77777777" w:rsidR="00E7732F" w:rsidRPr="00E7732F" w:rsidRDefault="00E7732F" w:rsidP="00E7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80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A9161" w14:textId="0A8F2314" w:rsidR="00E7732F" w:rsidRPr="00E7732F" w:rsidRDefault="00E7732F" w:rsidP="00E7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</w:pPr>
            <w:r w:rsidRPr="00E7732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 </w:t>
            </w:r>
            <w:r w:rsidR="0050324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cs-CZ"/>
              </w:rPr>
              <w:t>mimořádný svoz mimo frekvenci zakoupené známky</w:t>
            </w:r>
          </w:p>
        </w:tc>
      </w:tr>
    </w:tbl>
    <w:p w14:paraId="74C7AB87" w14:textId="72D54F4F" w:rsidR="00E7732F" w:rsidRDefault="00E7732F">
      <w:pPr>
        <w:rPr>
          <w:b/>
          <w:bCs/>
          <w:color w:val="FF0000"/>
        </w:rPr>
      </w:pPr>
    </w:p>
    <w:p w14:paraId="36770F4F" w14:textId="77777777" w:rsidR="00503248" w:rsidRPr="00E34651" w:rsidRDefault="00503248" w:rsidP="00503248">
      <w:pPr>
        <w:pStyle w:val="Odstavecseseznamem"/>
        <w:ind w:left="0"/>
        <w:rPr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*</w:t>
      </w:r>
      <w:r>
        <w:rPr>
          <w:b/>
          <w:bCs/>
          <w:color w:val="FF0000"/>
        </w:rPr>
        <w:t xml:space="preserve"> P</w:t>
      </w:r>
      <w:r w:rsidRPr="00E34651">
        <w:rPr>
          <w:b/>
          <w:bCs/>
          <w:color w:val="FF0000"/>
        </w:rPr>
        <w:t xml:space="preserve">ořízení </w:t>
      </w:r>
      <w:r>
        <w:rPr>
          <w:b/>
          <w:bCs/>
          <w:color w:val="FF0000"/>
        </w:rPr>
        <w:t xml:space="preserve">PE </w:t>
      </w:r>
      <w:r w:rsidRPr="00E34651">
        <w:rPr>
          <w:b/>
          <w:bCs/>
          <w:color w:val="FF0000"/>
        </w:rPr>
        <w:t>pytle na KOM odpad je pouze doplňková služba</w:t>
      </w:r>
      <w:r>
        <w:rPr>
          <w:b/>
          <w:bCs/>
          <w:color w:val="FF0000"/>
        </w:rPr>
        <w:t xml:space="preserve"> </w:t>
      </w:r>
      <w:r w:rsidRPr="00E34651">
        <w:rPr>
          <w:b/>
          <w:bCs/>
          <w:color w:val="FF0000"/>
        </w:rPr>
        <w:t>pro případ, kdy nevystačí objem popelnice mezi svozy. Nenahrazuje pořízení známky, kterým se občané zapojují do celého systému svozů odpadů vyprodukovaných na území obce</w:t>
      </w:r>
    </w:p>
    <w:p w14:paraId="7C507A77" w14:textId="77777777" w:rsidR="00503248" w:rsidRPr="00E7732F" w:rsidRDefault="00503248">
      <w:pPr>
        <w:rPr>
          <w:b/>
          <w:bCs/>
          <w:color w:val="FF0000"/>
        </w:rPr>
      </w:pPr>
    </w:p>
    <w:sectPr w:rsidR="00503248" w:rsidRPr="00E7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AE"/>
    <w:rsid w:val="002F5CC3"/>
    <w:rsid w:val="00503248"/>
    <w:rsid w:val="00687093"/>
    <w:rsid w:val="00853D8D"/>
    <w:rsid w:val="008F75AE"/>
    <w:rsid w:val="00B856FB"/>
    <w:rsid w:val="00E7732F"/>
    <w:rsid w:val="00EC4BE7"/>
    <w:rsid w:val="00F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10BC"/>
  <w15:chartTrackingRefBased/>
  <w15:docId w15:val="{12BF1489-308D-4368-A989-9F8D8CDF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dcterms:created xsi:type="dcterms:W3CDTF">2020-12-15T07:59:00Z</dcterms:created>
  <dcterms:modified xsi:type="dcterms:W3CDTF">2020-12-15T08:02:00Z</dcterms:modified>
</cp:coreProperties>
</file>